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AD" w:rsidRPr="00D26D15" w:rsidRDefault="00BF0CAD" w:rsidP="00BF0CAD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D26D15">
        <w:rPr>
          <w:sz w:val="18"/>
          <w:szCs w:val="18"/>
        </w:rPr>
        <w:t>ałącznik nr 3 a</w:t>
      </w:r>
    </w:p>
    <w:p w:rsidR="00BF0CAD" w:rsidRPr="00D26D15" w:rsidRDefault="00BF0CAD" w:rsidP="00BF0CAD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BF0CAD" w:rsidRPr="00D26D15" w:rsidRDefault="00BF0CAD" w:rsidP="00BF0CAD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BF0CAD" w:rsidRPr="00D26D15" w:rsidRDefault="00BF0CAD" w:rsidP="00BF0CAD">
      <w:pPr>
        <w:spacing w:line="360" w:lineRule="auto"/>
        <w:rPr>
          <w:b/>
          <w:sz w:val="28"/>
          <w:szCs w:val="28"/>
        </w:rPr>
      </w:pPr>
    </w:p>
    <w:p w:rsidR="00BF0CAD" w:rsidRPr="009E4097" w:rsidRDefault="00BF0CAD" w:rsidP="00BF0CAD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BF0CAD" w:rsidRPr="00FD6996" w:rsidRDefault="00BF0CAD" w:rsidP="00BF0CAD">
      <w:pPr>
        <w:spacing w:line="360" w:lineRule="auto"/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BF0CAD" w:rsidRPr="00FD6996" w:rsidRDefault="00BF0CAD" w:rsidP="00BF0CAD">
      <w:pPr>
        <w:spacing w:line="360" w:lineRule="auto"/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BF0CAD" w:rsidRDefault="00BF0CAD" w:rsidP="00BF0CAD">
      <w:pPr>
        <w:spacing w:line="360" w:lineRule="auto"/>
        <w:jc w:val="center"/>
      </w:pPr>
    </w:p>
    <w:p w:rsidR="00BF0CAD" w:rsidRPr="00B43255" w:rsidRDefault="00BF0CAD" w:rsidP="00BF0CA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BF0CAD" w:rsidRDefault="00BF0CAD" w:rsidP="00BF0CAD">
      <w:pPr>
        <w:ind w:left="540"/>
      </w:pPr>
      <w:r>
        <w:t>Śląskie Centrum Chorób Serca w Zabrzu</w:t>
      </w:r>
    </w:p>
    <w:p w:rsidR="00BF0CAD" w:rsidRDefault="00BF0CAD" w:rsidP="00BF0CAD">
      <w:pPr>
        <w:ind w:left="540"/>
      </w:pPr>
      <w:r>
        <w:t>Dział ………………………………….</w:t>
      </w:r>
    </w:p>
    <w:p w:rsidR="00BF0CAD" w:rsidRDefault="00BF0CAD" w:rsidP="00BF0CAD">
      <w:pPr>
        <w:ind w:left="540"/>
      </w:pPr>
      <w:r>
        <w:t>ul. M. Curie-Skłodowskiej 9, 41-800 Zabrze</w:t>
      </w:r>
    </w:p>
    <w:p w:rsidR="00BF0CAD" w:rsidRDefault="00BF0CAD" w:rsidP="00BF0CAD">
      <w:pPr>
        <w:ind w:left="540"/>
      </w:pPr>
      <w:r>
        <w:t xml:space="preserve">tel./fax. ………………………………. </w:t>
      </w:r>
    </w:p>
    <w:p w:rsidR="00BF0CAD" w:rsidRDefault="00BF0CAD" w:rsidP="00BF0CAD">
      <w:pPr>
        <w:ind w:left="540"/>
      </w:pPr>
    </w:p>
    <w:p w:rsidR="00BF0CAD" w:rsidRPr="00F6586B" w:rsidRDefault="00BF0CAD" w:rsidP="00BF0CAD">
      <w:pPr>
        <w:numPr>
          <w:ilvl w:val="0"/>
          <w:numId w:val="1"/>
        </w:numPr>
      </w:pPr>
      <w:r w:rsidRPr="00B43255">
        <w:rPr>
          <w:u w:val="single"/>
        </w:rPr>
        <w:t>Nazwa przedmiotu zamówienia</w:t>
      </w:r>
    </w:p>
    <w:p w:rsidR="00BF0CAD" w:rsidRDefault="00BF0CAD" w:rsidP="00BF0CAD">
      <w:pPr>
        <w:ind w:left="510"/>
      </w:pPr>
    </w:p>
    <w:p w:rsidR="00BF0CAD" w:rsidRDefault="00BF0CAD" w:rsidP="00BF0CAD">
      <w:pPr>
        <w:ind w:left="51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OPROGRAMOWANIE DO MONITOROWANIA PODATNOŚCI</w:t>
      </w:r>
    </w:p>
    <w:p w:rsidR="00BF0CAD" w:rsidRPr="00C55793" w:rsidRDefault="00BF0CAD" w:rsidP="00BF0CAD">
      <w:pPr>
        <w:ind w:left="510"/>
        <w:jc w:val="center"/>
        <w:rPr>
          <w:i/>
          <w:sz w:val="28"/>
          <w:szCs w:val="28"/>
          <w:u w:val="single"/>
        </w:rPr>
      </w:pPr>
    </w:p>
    <w:p w:rsidR="00BF0CAD" w:rsidRPr="00F106B0" w:rsidRDefault="00BF0CAD" w:rsidP="00BF0CAD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BF0CAD" w:rsidRPr="00A01D15" w:rsidRDefault="00BF0CAD" w:rsidP="00BF0CAD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BF0CAD" w:rsidRDefault="00BF0CAD" w:rsidP="00BF0CA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BF0CAD" w:rsidRPr="00A01D15" w:rsidRDefault="00BF0CAD" w:rsidP="00BF0CAD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>
        <w:rPr>
          <w:b/>
        </w:rPr>
        <w:t>30/09</w:t>
      </w:r>
      <w:r w:rsidRPr="00A01D15">
        <w:rPr>
          <w:b/>
        </w:rPr>
        <w:t>/2019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5D294C">
          <w:rPr>
            <w:rStyle w:val="Hipercze"/>
          </w:rPr>
          <w:t>mailowys.jankowska@sccs.pl</w:t>
        </w:r>
      </w:hyperlink>
      <w:r>
        <w:t xml:space="preserve"> </w:t>
      </w:r>
      <w:hyperlink r:id="rId7" w:history="1">
        <w:r w:rsidRPr="00B41A3A">
          <w:rPr>
            <w:rStyle w:val="Hipercze"/>
          </w:rPr>
          <w:t>e.cybulska@sccs.pl</w:t>
        </w:r>
      </w:hyperlink>
      <w:r>
        <w:t xml:space="preserve"> (</w:t>
      </w:r>
      <w:proofErr w:type="spellStart"/>
      <w:r>
        <w:t>skany</w:t>
      </w:r>
      <w:proofErr w:type="spellEnd"/>
      <w:r>
        <w:t xml:space="preserve">) lub </w:t>
      </w:r>
      <w:proofErr w:type="spellStart"/>
      <w:r>
        <w:t>faxem</w:t>
      </w:r>
      <w:proofErr w:type="spellEnd"/>
      <w:r>
        <w:t xml:space="preserve">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do reprezentowania Wykonawcy.</w:t>
      </w:r>
    </w:p>
    <w:p w:rsidR="00BF0CAD" w:rsidRDefault="00BF0CAD" w:rsidP="00BF0CA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BF0CAD" w:rsidRDefault="00BF0CAD" w:rsidP="00BF0CA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>wpisie do ewidencji działalności gospodarczej, jeżeli odrębne przepisy wymagają wpisu do rejestru lub zgłoszenia do ewidencji działalności gospodarczej</w:t>
      </w:r>
    </w:p>
    <w:p w:rsidR="00BF0CAD" w:rsidRPr="00635901" w:rsidRDefault="00BF0CAD" w:rsidP="00BF0CA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BF0CAD" w:rsidRPr="0048606E" w:rsidRDefault="00BF0CAD" w:rsidP="00BF0CAD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48606E">
        <w:rPr>
          <w:strike/>
        </w:rPr>
        <w:t>na wezwanie Zmawiającego próbki przedmiotu zamówienia</w:t>
      </w:r>
    </w:p>
    <w:p w:rsidR="00BF0CAD" w:rsidRPr="00812ED2" w:rsidRDefault="00BF0CAD" w:rsidP="00BF0CA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BF0CAD" w:rsidRDefault="00BF0CAD" w:rsidP="00BF0CA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BF0CAD" w:rsidRDefault="00BF0CAD" w:rsidP="00BF0CAD">
      <w:pPr>
        <w:tabs>
          <w:tab w:val="num" w:pos="540"/>
        </w:tabs>
        <w:spacing w:line="360" w:lineRule="auto"/>
        <w:ind w:left="510"/>
        <w:jc w:val="both"/>
      </w:pPr>
      <w: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BF0CAD" w:rsidRDefault="00BF0CAD" w:rsidP="00BF0CAD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BF0CAD" w:rsidRDefault="00BF0CAD" w:rsidP="00BF0CAD">
      <w:pPr>
        <w:numPr>
          <w:ilvl w:val="0"/>
          <w:numId w:val="2"/>
        </w:numPr>
        <w:spacing w:line="360" w:lineRule="auto"/>
        <w:jc w:val="both"/>
      </w:pPr>
      <w:r>
        <w:t xml:space="preserve">Zamawiający zastrzega sobie prawo zakończenia postępowania bez wybrania żadnej ze złożonych ofert. </w:t>
      </w:r>
    </w:p>
    <w:p w:rsidR="00BF0CAD" w:rsidRDefault="00BF0CAD" w:rsidP="00BF0CAD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BF0CAD" w:rsidRDefault="00BF0CAD" w:rsidP="00BF0CAD">
      <w:pPr>
        <w:spacing w:line="360" w:lineRule="auto"/>
        <w:ind w:left="4956" w:firstLine="708"/>
      </w:pPr>
      <w:r>
        <w:t>Zatwierdzam:</w:t>
      </w:r>
    </w:p>
    <w:p w:rsidR="00BF0CAD" w:rsidRPr="009E4097" w:rsidRDefault="00BF0CAD" w:rsidP="00BF0CAD">
      <w:pPr>
        <w:ind w:left="4248" w:firstLine="708"/>
        <w:jc w:val="both"/>
        <w:rPr>
          <w:sz w:val="22"/>
          <w:szCs w:val="22"/>
        </w:rPr>
      </w:pPr>
      <w:r w:rsidRPr="009E4097">
        <w:rPr>
          <w:sz w:val="22"/>
          <w:szCs w:val="22"/>
        </w:rPr>
        <w:t>……………………………………</w:t>
      </w: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(podpis Kierownika Zamawiającego)</w:t>
      </w: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Pr="00D26D15" w:rsidRDefault="00BF0CAD" w:rsidP="00BF0CAD">
      <w:pPr>
        <w:spacing w:line="360" w:lineRule="auto"/>
        <w:jc w:val="both"/>
        <w:rPr>
          <w:sz w:val="18"/>
          <w:szCs w:val="1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A3807" wp14:editId="42240D87">
                <wp:simplePos x="0" y="0"/>
                <wp:positionH relativeFrom="column">
                  <wp:posOffset>-457200</wp:posOffset>
                </wp:positionH>
                <wp:positionV relativeFrom="paragraph">
                  <wp:posOffset>-162560</wp:posOffset>
                </wp:positionV>
                <wp:extent cx="2057400" cy="1143000"/>
                <wp:effectExtent l="13970" t="10795" r="5080" b="82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CAD" w:rsidRDefault="00BF0CAD" w:rsidP="00BF0CAD">
                            <w:pPr>
                              <w:jc w:val="center"/>
                            </w:pPr>
                          </w:p>
                          <w:p w:rsidR="00BF0CAD" w:rsidRDefault="00BF0CAD" w:rsidP="00BF0CAD">
                            <w:pPr>
                              <w:jc w:val="center"/>
                            </w:pPr>
                          </w:p>
                          <w:p w:rsidR="00BF0CAD" w:rsidRDefault="00BF0CAD" w:rsidP="00BF0CAD">
                            <w:pPr>
                              <w:jc w:val="center"/>
                            </w:pPr>
                          </w:p>
                          <w:p w:rsidR="00BF0CAD" w:rsidRDefault="00BF0CAD" w:rsidP="00BF0CAD">
                            <w:pPr>
                              <w:jc w:val="center"/>
                            </w:pPr>
                          </w:p>
                          <w:p w:rsidR="00BF0CAD" w:rsidRDefault="00BF0CAD" w:rsidP="00BF0CAD">
                            <w:pPr>
                              <w:jc w:val="center"/>
                            </w:pPr>
                          </w:p>
                          <w:p w:rsidR="00BF0CAD" w:rsidRDefault="00BF0CAD" w:rsidP="00BF0CA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6pt;margin-top:-12.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">
                <v:textbox>
                  <w:txbxContent>
                    <w:p w:rsidR="00BF0CAD" w:rsidRDefault="00BF0CAD" w:rsidP="00BF0CAD">
                      <w:pPr>
                        <w:jc w:val="center"/>
                      </w:pPr>
                    </w:p>
                    <w:p w:rsidR="00BF0CAD" w:rsidRDefault="00BF0CAD" w:rsidP="00BF0CAD">
                      <w:pPr>
                        <w:jc w:val="center"/>
                      </w:pPr>
                    </w:p>
                    <w:p w:rsidR="00BF0CAD" w:rsidRDefault="00BF0CAD" w:rsidP="00BF0CAD">
                      <w:pPr>
                        <w:jc w:val="center"/>
                      </w:pPr>
                    </w:p>
                    <w:p w:rsidR="00BF0CAD" w:rsidRDefault="00BF0CAD" w:rsidP="00BF0CAD">
                      <w:pPr>
                        <w:jc w:val="center"/>
                      </w:pPr>
                    </w:p>
                    <w:p w:rsidR="00BF0CAD" w:rsidRDefault="00BF0CAD" w:rsidP="00BF0CAD">
                      <w:pPr>
                        <w:jc w:val="center"/>
                      </w:pPr>
                    </w:p>
                    <w:p w:rsidR="00BF0CAD" w:rsidRDefault="00BF0CAD" w:rsidP="00BF0CA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D26D15">
        <w:rPr>
          <w:sz w:val="18"/>
          <w:szCs w:val="18"/>
        </w:rPr>
        <w:t>Załącznik nr 3 b</w:t>
      </w:r>
    </w:p>
    <w:p w:rsidR="00BF0CAD" w:rsidRPr="00D26D15" w:rsidRDefault="00BF0CAD" w:rsidP="00BF0CAD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BF0CAD" w:rsidRPr="00D26D15" w:rsidRDefault="00BF0CAD" w:rsidP="00BF0CAD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BF0CAD" w:rsidRDefault="00BF0CAD" w:rsidP="00BF0CAD">
      <w:pPr>
        <w:spacing w:line="360" w:lineRule="auto"/>
        <w:jc w:val="center"/>
        <w:rPr>
          <w:b/>
          <w:sz w:val="28"/>
          <w:szCs w:val="28"/>
        </w:rPr>
      </w:pPr>
    </w:p>
    <w:p w:rsidR="00BF0CAD" w:rsidRPr="00FD6996" w:rsidRDefault="00BF0CAD" w:rsidP="00BF0CAD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BF0CAD" w:rsidRDefault="00BF0CAD" w:rsidP="00BF0CAD">
      <w:pPr>
        <w:spacing w:line="360" w:lineRule="auto"/>
      </w:pPr>
      <w:r>
        <w:t>Część B (wypełnia Wykonawca)</w:t>
      </w:r>
    </w:p>
    <w:p w:rsidR="00BF0CAD" w:rsidRPr="0055333F" w:rsidRDefault="00BF0CAD" w:rsidP="00BF0CAD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BF0CAD" w:rsidRDefault="00BF0CAD" w:rsidP="00BF0CAD">
      <w:pPr>
        <w:spacing w:line="360" w:lineRule="auto"/>
        <w:jc w:val="both"/>
      </w:pPr>
      <w:r>
        <w:t>……………………………………………………………………</w:t>
      </w:r>
    </w:p>
    <w:p w:rsidR="00BF0CAD" w:rsidRDefault="00BF0CAD" w:rsidP="00BF0CAD">
      <w:pPr>
        <w:spacing w:line="360" w:lineRule="auto"/>
        <w:jc w:val="both"/>
      </w:pPr>
      <w:r>
        <w:t>……………………………………………………………………</w:t>
      </w:r>
    </w:p>
    <w:p w:rsidR="00BF0CAD" w:rsidRDefault="00BF0CAD" w:rsidP="00BF0CAD">
      <w:pPr>
        <w:spacing w:line="360" w:lineRule="auto"/>
        <w:jc w:val="both"/>
      </w:pPr>
      <w:r>
        <w:t>……………………………………………………………………</w:t>
      </w:r>
    </w:p>
    <w:p w:rsidR="00BF0CAD" w:rsidRDefault="00BF0CAD" w:rsidP="00BF0CAD">
      <w:pPr>
        <w:spacing w:line="360" w:lineRule="auto"/>
        <w:jc w:val="both"/>
      </w:pPr>
      <w:r>
        <w:t>nr telefonu ……………………………………………………….</w:t>
      </w:r>
    </w:p>
    <w:p w:rsidR="00BF0CAD" w:rsidRPr="00882E69" w:rsidRDefault="00BF0CAD" w:rsidP="00BF0CAD">
      <w:pPr>
        <w:spacing w:line="360" w:lineRule="auto"/>
        <w:jc w:val="both"/>
      </w:pPr>
      <w:r>
        <w:t>NIP :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CAD" w:rsidRDefault="00BF0CAD" w:rsidP="00BF0CA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Nazwa przedmiotu zamówienia:</w:t>
      </w:r>
    </w:p>
    <w:p w:rsidR="00BF0CAD" w:rsidRDefault="00BF0CAD" w:rsidP="00BF0CAD">
      <w:pPr>
        <w:ind w:left="1065"/>
        <w:rPr>
          <w:b/>
          <w:i/>
          <w:sz w:val="28"/>
          <w:szCs w:val="28"/>
          <w:u w:val="single"/>
        </w:rPr>
      </w:pPr>
    </w:p>
    <w:p w:rsidR="00BF0CAD" w:rsidRDefault="00BF0CAD" w:rsidP="00BF0CAD">
      <w:pPr>
        <w:ind w:left="106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OPROGRAMOWANIE DO MONITOROWANIA PODATNOŚCI</w:t>
      </w:r>
    </w:p>
    <w:p w:rsidR="00BF0CAD" w:rsidRPr="00C55793" w:rsidRDefault="00BF0CAD" w:rsidP="00BF0CAD">
      <w:pPr>
        <w:ind w:left="1065"/>
        <w:rPr>
          <w:i/>
          <w:sz w:val="28"/>
          <w:szCs w:val="28"/>
          <w:u w:val="single"/>
        </w:rPr>
      </w:pPr>
    </w:p>
    <w:p w:rsidR="00BF0CAD" w:rsidRDefault="00BF0CAD" w:rsidP="00BF0CA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</w:pPr>
      <w:r>
        <w:t>Oferuję wykonanie przedmiotu zamówienia za kwotę:</w:t>
      </w:r>
    </w:p>
    <w:p w:rsidR="00BF0CAD" w:rsidRDefault="00BF0CAD" w:rsidP="00BF0CAD">
      <w:pPr>
        <w:jc w:val="both"/>
      </w:pPr>
    </w:p>
    <w:p w:rsidR="00BF0CAD" w:rsidRPr="006C3F28" w:rsidRDefault="00BF0CAD" w:rsidP="00BF0CAD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BF0CAD" w:rsidRPr="006C3F28" w:rsidRDefault="00BF0CAD" w:rsidP="00BF0CAD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BF0CAD" w:rsidRDefault="00BF0CAD" w:rsidP="00BF0CAD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BF0CAD" w:rsidRDefault="00BF0CAD" w:rsidP="00BF0CAD">
      <w:pPr>
        <w:jc w:val="both"/>
      </w:pPr>
    </w:p>
    <w:p w:rsidR="00BF0CAD" w:rsidRDefault="00BF0CAD" w:rsidP="00BF0CA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BF0CAD" w:rsidRDefault="00BF0CAD" w:rsidP="00BF0CAD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BF0CAD" w:rsidRPr="00F6586B" w:rsidRDefault="00BF0CAD" w:rsidP="00BF0CAD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strike/>
        </w:rPr>
      </w:pPr>
      <w:r w:rsidRPr="00F6586B">
        <w:rPr>
          <w:strike/>
        </w:rPr>
        <w:t>Okres gwarancji: ……………………..(min. 36 m-</w:t>
      </w:r>
      <w:proofErr w:type="spellStart"/>
      <w:r w:rsidRPr="00F6586B">
        <w:rPr>
          <w:strike/>
        </w:rPr>
        <w:t>cy</w:t>
      </w:r>
      <w:proofErr w:type="spellEnd"/>
      <w:r w:rsidRPr="00F6586B">
        <w:rPr>
          <w:strike/>
        </w:rPr>
        <w:t>)</w:t>
      </w:r>
    </w:p>
    <w:p w:rsidR="00BF0CAD" w:rsidRDefault="00BF0CAD" w:rsidP="00BF0CAD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12 m </w:t>
      </w:r>
      <w:proofErr w:type="spellStart"/>
      <w:r>
        <w:t>cy</w:t>
      </w:r>
      <w:proofErr w:type="spellEnd"/>
    </w:p>
    <w:p w:rsidR="00BF0CAD" w:rsidRDefault="00BF0CAD" w:rsidP="00BF0CA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BF0CAD" w:rsidRPr="00872F16" w:rsidRDefault="00BF0CAD" w:rsidP="00BF0CAD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BF0CAD" w:rsidRDefault="00BF0CAD" w:rsidP="00BF0CAD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BF0CAD" w:rsidRDefault="00BF0CAD" w:rsidP="00BF0CAD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BF0CAD" w:rsidRDefault="00BF0CAD" w:rsidP="00BF0CAD">
      <w:pPr>
        <w:ind w:left="540" w:hanging="540"/>
        <w:jc w:val="both"/>
      </w:pPr>
      <w:r>
        <w:t>-       termin związania z ofertą wynosi 30 dni</w:t>
      </w:r>
    </w:p>
    <w:p w:rsidR="00BF0CAD" w:rsidRDefault="00BF0CAD" w:rsidP="00BF0CAD">
      <w:pPr>
        <w:ind w:left="540" w:hanging="540"/>
        <w:jc w:val="both"/>
      </w:pPr>
      <w:r>
        <w:t>5.      Załącznikami do niniejszego formularza stanowiącymi integralną część oferty są:</w:t>
      </w:r>
    </w:p>
    <w:p w:rsidR="00BF0CAD" w:rsidRDefault="00BF0CAD" w:rsidP="00BF0CAD">
      <w:pPr>
        <w:jc w:val="both"/>
      </w:pPr>
      <w:r>
        <w:t>…………………………………………………………………………..</w:t>
      </w:r>
    </w:p>
    <w:p w:rsidR="00BF0CAD" w:rsidRDefault="00BF0CAD" w:rsidP="00BF0CAD">
      <w:pPr>
        <w:jc w:val="both"/>
      </w:pPr>
      <w:r>
        <w:t xml:space="preserve"> …………………………………………………………………………</w:t>
      </w:r>
    </w:p>
    <w:p w:rsidR="00BF0CAD" w:rsidRDefault="00BF0CAD" w:rsidP="00BF0CAD">
      <w:pPr>
        <w:jc w:val="both"/>
      </w:pPr>
    </w:p>
    <w:p w:rsidR="00BF0CAD" w:rsidRDefault="00BF0CAD" w:rsidP="00BF0CAD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BF0CAD" w:rsidRDefault="00BF0CAD" w:rsidP="00BF0CA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BF0CAD" w:rsidRDefault="00BF0CAD" w:rsidP="00BF0CAD">
      <w:pPr>
        <w:jc w:val="both"/>
        <w:rPr>
          <w:sz w:val="20"/>
          <w:szCs w:val="20"/>
        </w:rPr>
      </w:pPr>
    </w:p>
    <w:p w:rsidR="00BF0CAD" w:rsidRDefault="00BF0CAD" w:rsidP="00BF0CAD">
      <w:pPr>
        <w:jc w:val="both"/>
        <w:rPr>
          <w:sz w:val="20"/>
          <w:szCs w:val="20"/>
        </w:rPr>
      </w:pPr>
    </w:p>
    <w:p w:rsidR="00BF0CAD" w:rsidRPr="00812ED2" w:rsidRDefault="00BF0CAD" w:rsidP="00BF0CAD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48606E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BF0CAD" w:rsidRDefault="00BF0CAD" w:rsidP="00BF0CA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F0CAD" w:rsidRPr="0048606E" w:rsidRDefault="00BF0CAD" w:rsidP="00BF0CA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F0CAD" w:rsidRPr="00C55793" w:rsidRDefault="00BF0CAD" w:rsidP="00BF0CAD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OPROGRAMOWANIE DO MONITOROWANIA PODATNOŚCI</w:t>
      </w:r>
    </w:p>
    <w:p w:rsidR="00BF0CAD" w:rsidRDefault="00BF0CAD" w:rsidP="00BF0CAD">
      <w:pPr>
        <w:jc w:val="center"/>
        <w:rPr>
          <w:b/>
          <w:i/>
          <w:sz w:val="28"/>
          <w:szCs w:val="28"/>
          <w:u w:val="single"/>
        </w:rPr>
      </w:pPr>
    </w:p>
    <w:p w:rsidR="00BF0CAD" w:rsidRPr="00C55793" w:rsidRDefault="00BF0CAD" w:rsidP="00BF0CAD">
      <w:pPr>
        <w:jc w:val="center"/>
        <w:rPr>
          <w:i/>
          <w:sz w:val="28"/>
          <w:szCs w:val="28"/>
          <w:u w:val="single"/>
        </w:rPr>
      </w:pPr>
    </w:p>
    <w:p w:rsidR="00BF0CAD" w:rsidRPr="0048606E" w:rsidRDefault="00BF0CAD" w:rsidP="00BF0CAD">
      <w:pPr>
        <w:spacing w:line="360" w:lineRule="auto"/>
        <w:ind w:left="720"/>
        <w:contextualSpacing/>
        <w:jc w:val="center"/>
      </w:pPr>
    </w:p>
    <w:tbl>
      <w:tblPr>
        <w:tblW w:w="2416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80"/>
        <w:gridCol w:w="163"/>
        <w:gridCol w:w="197"/>
        <w:gridCol w:w="480"/>
        <w:gridCol w:w="340"/>
        <w:gridCol w:w="840"/>
        <w:gridCol w:w="1417"/>
        <w:gridCol w:w="1130"/>
        <w:gridCol w:w="1115"/>
        <w:gridCol w:w="1116"/>
        <w:gridCol w:w="928"/>
        <w:gridCol w:w="1236"/>
        <w:gridCol w:w="1572"/>
        <w:gridCol w:w="827"/>
        <w:gridCol w:w="964"/>
        <w:gridCol w:w="1101"/>
        <w:gridCol w:w="1353"/>
        <w:gridCol w:w="637"/>
        <w:gridCol w:w="2734"/>
        <w:gridCol w:w="2824"/>
        <w:gridCol w:w="851"/>
        <w:gridCol w:w="1701"/>
      </w:tblGrid>
      <w:tr w:rsidR="00BF0CAD" w:rsidRPr="0048606E" w:rsidTr="00555DA8">
        <w:trPr>
          <w:trHeight w:val="540"/>
        </w:trPr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 </w:t>
            </w:r>
            <w:r w:rsidRPr="0048606E">
              <w:rPr>
                <w:sz w:val="22"/>
                <w:szCs w:val="22"/>
              </w:rPr>
              <w:t>l.p.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Cena jedn. netto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Stawka VAT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Wartość brutto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Ilość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</w:tr>
      <w:tr w:rsidR="00BF0CAD" w:rsidRPr="0048606E" w:rsidTr="00555DA8">
        <w:trPr>
          <w:trHeight w:val="255"/>
        </w:trPr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1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E23C78" w:rsidRDefault="00BF0CAD" w:rsidP="00BF0CAD">
            <w:pPr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sz w:val="22"/>
                <w:szCs w:val="22"/>
              </w:rPr>
              <w:t>Oprogramowanie do monitorowania podatno</w:t>
            </w:r>
            <w:r>
              <w:rPr>
                <w:sz w:val="22"/>
                <w:szCs w:val="22"/>
              </w:rPr>
              <w:t>ś</w:t>
            </w:r>
            <w:r>
              <w:rPr>
                <w:sz w:val="22"/>
                <w:szCs w:val="22"/>
              </w:rPr>
              <w:t>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stanowisko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2.500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AD" w:rsidRPr="0048606E" w:rsidRDefault="00BF0CAD" w:rsidP="00555DA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BF0CAD" w:rsidRPr="0048606E" w:rsidTr="00555DA8">
        <w:trPr>
          <w:gridAfter w:val="16"/>
          <w:wAfter w:w="21506" w:type="dxa"/>
          <w:trHeight w:val="255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CAD" w:rsidRPr="0048606E" w:rsidRDefault="00BF0CAD" w:rsidP="00555DA8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CAD" w:rsidRPr="0048606E" w:rsidRDefault="00BF0CAD" w:rsidP="00555DA8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CAD" w:rsidRPr="0048606E" w:rsidRDefault="00BF0CAD" w:rsidP="00555DA8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</w:tr>
      <w:tr w:rsidR="00BF0CAD" w:rsidRPr="0048606E" w:rsidTr="00555DA8">
        <w:trPr>
          <w:gridAfter w:val="17"/>
          <w:wAfter w:w="22346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CAD" w:rsidRPr="0048606E" w:rsidRDefault="00BF0CAD" w:rsidP="00555DA8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CAD" w:rsidRPr="0048606E" w:rsidRDefault="00BF0CAD" w:rsidP="00555DA8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CAD" w:rsidRPr="0048606E" w:rsidRDefault="00BF0CAD" w:rsidP="00555DA8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BF0CAD" w:rsidRPr="0048606E" w:rsidRDefault="00BF0CAD" w:rsidP="00BF0CAD">
      <w:pPr>
        <w:spacing w:line="360" w:lineRule="auto"/>
        <w:rPr>
          <w:rFonts w:ascii="Bookman Old Style" w:hAnsi="Bookman Old Style"/>
          <w:bCs/>
          <w:color w:val="666666"/>
        </w:rPr>
      </w:pPr>
    </w:p>
    <w:p w:rsidR="00BF0CAD" w:rsidRPr="0048606E" w:rsidRDefault="00BF0CAD" w:rsidP="00BF0CAD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BF0CAD" w:rsidRPr="0048606E" w:rsidRDefault="00BF0CAD" w:rsidP="00BF0CAD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BF0CAD" w:rsidRPr="0048606E" w:rsidRDefault="00BF0CAD" w:rsidP="00BF0CAD">
      <w:pPr>
        <w:ind w:left="5664"/>
      </w:pPr>
    </w:p>
    <w:p w:rsidR="00BF0CAD" w:rsidRPr="0048606E" w:rsidRDefault="00BF0CAD" w:rsidP="00BF0CAD"/>
    <w:p w:rsidR="00BF0CAD" w:rsidRPr="0048606E" w:rsidRDefault="00BF0CAD" w:rsidP="00BF0CAD"/>
    <w:p w:rsidR="00BF0CAD" w:rsidRPr="0048606E" w:rsidRDefault="00BF0CAD" w:rsidP="00BF0CAD"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Pr="0048606E" w:rsidRDefault="00BF0CAD" w:rsidP="00BF0CAD">
      <w:pPr>
        <w:spacing w:line="360" w:lineRule="auto"/>
        <w:rPr>
          <w:b/>
          <w:i/>
          <w:sz w:val="28"/>
          <w:szCs w:val="28"/>
          <w:u w:val="single"/>
        </w:rPr>
      </w:pPr>
      <w:r w:rsidRPr="0048606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BF0CAD" w:rsidRPr="003773E7" w:rsidRDefault="00BF0CAD" w:rsidP="00BF0CAD">
      <w:pPr>
        <w:shd w:val="clear" w:color="auto" w:fill="FFFFFF"/>
        <w:spacing w:line="360" w:lineRule="auto"/>
        <w:rPr>
          <w:rFonts w:ascii="Cambria" w:hAnsi="Cambria" w:cs="Arial"/>
          <w:b/>
          <w:color w:val="222222"/>
          <w:sz w:val="20"/>
          <w:szCs w:val="20"/>
        </w:rPr>
      </w:pPr>
      <w:r w:rsidRPr="003773E7">
        <w:rPr>
          <w:rFonts w:ascii="Cambria" w:hAnsi="Cambria" w:cs="Arial"/>
          <w:b/>
          <w:color w:val="222222"/>
          <w:sz w:val="20"/>
          <w:szCs w:val="20"/>
        </w:rPr>
        <w:t>Wymagania techniczne dla „Oprogramowania do monitorowania podatności”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polega na wykrywaniu oraz zarządzaniu podatnościami bezpieczeństwa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Dostęp do rozwiązania realizowany jest za pomocą dedykowanego portalu zarządzającego dostępnego przez przeglądarkę internetową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być dostępny w postaci usługi hostowanej na serwerach producenta.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Dostęp do portalu zarządzającego odbywa się za pomocą wspieranych przeglądarek internetowych:</w:t>
      </w:r>
    </w:p>
    <w:p w:rsidR="00BF0CAD" w:rsidRPr="00937A61" w:rsidRDefault="00BF0CAD" w:rsidP="00BF0CAD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Microsoft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Edge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Mozilla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Firefox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Google Chrome</w:t>
      </w:r>
    </w:p>
    <w:p w:rsidR="00BF0CAD" w:rsidRPr="00937A61" w:rsidRDefault="00BF0CAD" w:rsidP="00BF0CAD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Safari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Rozwiązanie realizuje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skany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podatności za pomocą dedykowanych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nodów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skanujących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Nod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skanujący musi być dostępny w postaci usługi hostowanej na serwerach producenta oraz w postaci aplikacji instalowanej lokalnie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Nod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skanujący w postaci aplikacji instalowanej lokalnie dostępny jest na poniższe systemy operacyjne:</w:t>
      </w:r>
    </w:p>
    <w:p w:rsidR="00BF0CAD" w:rsidRPr="00937A61" w:rsidRDefault="00BF0CAD" w:rsidP="00BF0CAD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2008 R2</w:t>
      </w:r>
    </w:p>
    <w:p w:rsidR="00BF0CAD" w:rsidRPr="00937A61" w:rsidRDefault="00BF0CAD" w:rsidP="00BF0CAD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2012</w:t>
      </w:r>
    </w:p>
    <w:p w:rsidR="00BF0CAD" w:rsidRPr="00937A61" w:rsidRDefault="00BF0CAD" w:rsidP="00BF0CAD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2012 R2</w:t>
      </w:r>
    </w:p>
    <w:p w:rsidR="00BF0CAD" w:rsidRPr="00937A61" w:rsidRDefault="00BF0CAD" w:rsidP="00BF0CAD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2016</w:t>
      </w:r>
    </w:p>
    <w:p w:rsidR="00BF0CAD" w:rsidRPr="00937A61" w:rsidRDefault="00BF0CAD" w:rsidP="00BF0CAD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2019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umożliwiać:</w:t>
      </w:r>
    </w:p>
    <w:p w:rsidR="00BF0CAD" w:rsidRPr="00937A61" w:rsidRDefault="00BF0CAD" w:rsidP="00BF0CA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przegląd wybranych danych na podstawie konfigurowalnych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widgetów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zablokowania możliwości zmiany konfiguracji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widgetów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zarządzanie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skanami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podatności (start, stop), przeglądanie listy podatności oraz tworzenie raportów.</w:t>
      </w:r>
    </w:p>
    <w:p w:rsidR="00BF0CAD" w:rsidRPr="00937A61" w:rsidRDefault="00BF0CAD" w:rsidP="00BF0CA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tworzenie grup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z odpowiednią konfiguracją poszczególnych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podatności</w:t>
      </w:r>
    </w:p>
    <w:p w:rsidR="00BF0CAD" w:rsidRPr="00937A61" w:rsidRDefault="00BF0CAD" w:rsidP="00BF0CA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eksport wszystkich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podatności do pliku CSV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Rozwiązanie musi umożliwiać uruchomienie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wykrywającego dostępne hosty w sieci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wykrywający dostępne hosty w sieci musi umożliwiać:</w:t>
      </w:r>
    </w:p>
    <w:p w:rsidR="00BF0CAD" w:rsidRPr="00937A61" w:rsidRDefault="00BF0CAD" w:rsidP="00BF0CA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pracę w oparciu identyfikację hosta na podstawie protokołu ARP, ICMP PING, SSH, HTTP, HTTPS, RDP</w:t>
      </w:r>
    </w:p>
    <w:p w:rsidR="00BF0CAD" w:rsidRPr="00937A61" w:rsidRDefault="00BF0CAD" w:rsidP="00BF0CAD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pracę w oparciu o analizę wszystkich dostępnych otwartych portów</w:t>
      </w:r>
    </w:p>
    <w:p w:rsidR="00BF0CAD" w:rsidRPr="00937A61" w:rsidRDefault="00BF0CAD" w:rsidP="00BF0CAD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zakresu skanowanych portów, wydajność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, liczbę wątków oraz możliwość wykrycia wersji systemu operacyjnego</w:t>
      </w:r>
    </w:p>
    <w:p w:rsidR="00BF0CAD" w:rsidRPr="00937A61" w:rsidRDefault="00BF0CAD" w:rsidP="00BF0CAD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harmonogramu uruchamiania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: dziennie, tygodniowo, w określony dzień miesiąca, kwartalnie oraz wskazanie godziny rozpoczęcia</w:t>
      </w:r>
    </w:p>
    <w:p w:rsidR="00BF0CAD" w:rsidRPr="00937A61" w:rsidRDefault="00BF0CAD" w:rsidP="00BF0CAD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wysyłania powiadomień na wskazany adres e-mail w momencie rozpoczęcia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oraz jego zakończenia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lastRenderedPageBreak/>
        <w:t xml:space="preserve">Portal zarządzający musi umożliwiać podgląd listy skonfigurowanych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wykrywających dostępne hosty w sieci wraz z informacją o zmianach w stosunku do ostatniego przeprowadzonego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Portal zarządzający musi umożliwiać eksport wyniku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wykrywającego dostępne hosty w sieci do pliku XLS oraz XML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Rozwiązanie musi umożliwiać uruchomienie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wykrywającego znane podatności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wykrywający znane podatności musi umożliwiać:</w:t>
      </w:r>
    </w:p>
    <w:p w:rsidR="00BF0CAD" w:rsidRPr="00937A61" w:rsidRDefault="00BF0CAD" w:rsidP="00BF0CA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określenie skanowanego celu za pomocą adresu IP oraz podsieci IP</w:t>
      </w:r>
    </w:p>
    <w:p w:rsidR="00BF0CAD" w:rsidRPr="00937A61" w:rsidRDefault="00BF0CAD" w:rsidP="00BF0CA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grupy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do której będzie przypisany</w:t>
      </w:r>
    </w:p>
    <w:p w:rsidR="00BF0CAD" w:rsidRPr="00937A61" w:rsidRDefault="00BF0CAD" w:rsidP="00BF0CA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masowe wprowadzenie skanowanych celów za pomocą pliku CSV</w:t>
      </w:r>
    </w:p>
    <w:p w:rsidR="00BF0CAD" w:rsidRPr="00937A61" w:rsidRDefault="00BF0CAD" w:rsidP="00BF0CA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parametrów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(zakres portów TCP/UDP, parametr wydajności skanowania, rodzaj autentykacji) niezależnych od parametrów dziedziczonych z grupy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harmonogramu uruchamiania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: dziennie, tygodniowo, w określony dzień miesiąca, kwartalnie oraz wskazanie godziny rozpoczęcia</w:t>
      </w:r>
    </w:p>
    <w:p w:rsidR="00BF0CAD" w:rsidRPr="00937A61" w:rsidRDefault="00BF0CAD" w:rsidP="00BF0CA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wysyłania powiadomień na wskazany adres e-mail w momencie rozpoczęcia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oraz jego zakończenia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Portal zarządzający musi umożliwiać podgląd listy skonfigurowanych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wykrywających znane podatności wraz z informacją o zmianach w stosunku do ostatniego przeprowadzonego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Portal zarządzający musi umożliwiać eksport wyniku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wykrywającego znane podatności do pliku XLS oraz XML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Rozwiązanie musi umożliwiać uruchomienie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wykrywającego luki w aplikacjach webowych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wykrywający luki w aplikacjach webowych musi umożliwiać:</w:t>
      </w:r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określenie skanowanego celu za pomocą adresu URL</w:t>
      </w:r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grupy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do której będzie przypisany</w:t>
      </w:r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parametrów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(rodzaje ataków, wyjątki ze skanowania, nagłówki, parametr wydajności skanowania) niezależnych od parametrów dziedziczonych z grupy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rodzaju nagrywania sesji podczas przeprowadzanego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rodzaju autentykacji (HTTP/Form)</w:t>
      </w:r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harmonogramu uruchamiania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: dziennie, tygodniowo, w określony dzień miesiąca, kwartalnie oraz wskazanie godziny rozpoczęcia</w:t>
      </w:r>
    </w:p>
    <w:p w:rsidR="00BF0CAD" w:rsidRPr="00937A61" w:rsidRDefault="00BF0CAD" w:rsidP="00BF0CAD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wysyłania powiadomień na wskazany adres e-mail w momencie rozpoczęcia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oraz jego zakończenia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Portal zarządzający musi umożliwiać podgląd listy skonfigurowanych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wykrywających luki w aplikacjach webowych wraz z informacją o zmianach w stosunku do ostatniego przeprowadzonego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Portal zarządzający musi umożliwiać eksport wyniku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skanu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wykrywającego luki w aplikacjach webowych do pliku XLS oraz XML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wykorzystanie narzędzia do identyfikacji adresów internetowych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Narzędzie do identyfikacji adresów internetowych musi umożliwiać:</w:t>
      </w:r>
    </w:p>
    <w:p w:rsidR="00BF0CAD" w:rsidRPr="00937A61" w:rsidRDefault="00BF0CAD" w:rsidP="00BF0CA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lastRenderedPageBreak/>
        <w:t>wyszukiwanie adresów internetowych spełniających wskazane warunki</w:t>
      </w:r>
    </w:p>
    <w:p w:rsidR="00BF0CAD" w:rsidRPr="00937A61" w:rsidRDefault="00BF0CAD" w:rsidP="00BF0CA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zapisywanie wskazanych warunków wyszukiwania jako szablony</w:t>
      </w:r>
    </w:p>
    <w:p w:rsidR="00BF0CAD" w:rsidRPr="00937A61" w:rsidRDefault="00BF0CAD" w:rsidP="00BF0CA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listy wyników wyszukiwania z informacją o wykrytym adresie IP, nazwie oraz słowach kluczowych</w:t>
      </w:r>
    </w:p>
    <w:p w:rsidR="00BF0CAD" w:rsidRPr="00937A61" w:rsidRDefault="00BF0CAD" w:rsidP="00BF0CA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dodanie wybranych wyników wyszukiwania do grupy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podatności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Rozwiązanie musi umożliwiać podgląd listy wszystkich wykrytych podatności z wszystkich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Lista wszystkich wykrytych podatności musi umożliwiać:</w:t>
      </w:r>
    </w:p>
    <w:p w:rsidR="00BF0CAD" w:rsidRPr="00937A61" w:rsidRDefault="00BF0CAD" w:rsidP="00BF0CA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filtrowanie podatności ze względu na ich rodzaj, przypisany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tag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, host na którym została znaleziona, stopień zagrożenia, status</w:t>
      </w:r>
    </w:p>
    <w:p w:rsidR="00BF0CAD" w:rsidRPr="00937A61" w:rsidRDefault="00BF0CAD" w:rsidP="00BF0CA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wyświetlenie szczegółów poszczególnych podatności wraz z informacjami na jakich hostach została wykryta</w:t>
      </w:r>
    </w:p>
    <w:p w:rsidR="00BF0CAD" w:rsidRPr="00937A61" w:rsidRDefault="00BF0CAD" w:rsidP="00BF0CA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eksport listy hostów na których została wykryta dana podatność do pliku CSV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podgląd listy wygenerowanych raportów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utworzenie nowego raportu podsumowującego: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Raport podsumowujący musi umożliwiać:</w:t>
      </w:r>
    </w:p>
    <w:p w:rsidR="00BF0CAD" w:rsidRPr="00937A61" w:rsidRDefault="00BF0CAD" w:rsidP="00BF0CAD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szablonu jaki będzie wykorzystany do przygotowania raportu</w:t>
      </w:r>
    </w:p>
    <w:p w:rsidR="00BF0CAD" w:rsidRPr="00937A61" w:rsidRDefault="00BF0CAD" w:rsidP="00BF0CAD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wybranie grup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, które będą znajdowały się w raporcie</w:t>
      </w:r>
    </w:p>
    <w:p w:rsidR="00BF0CAD" w:rsidRPr="00937A61" w:rsidRDefault="00BF0CAD" w:rsidP="00BF0CAD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wybranie poszczególnych statusów oraz poziomu zagrożenia podatności, które będą znajdowały się w raporcie</w:t>
      </w:r>
    </w:p>
    <w:p w:rsidR="00BF0CAD" w:rsidRPr="00937A61" w:rsidRDefault="00BF0CAD" w:rsidP="00BF0CAD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określenie danych klienta, którymi zostanie podpisany raport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Lista wygenerowanych raportów musi umożliwiać:</w:t>
      </w:r>
    </w:p>
    <w:p w:rsidR="00BF0CAD" w:rsidRPr="00937A61" w:rsidRDefault="00BF0CAD" w:rsidP="00BF0CAD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filtrowanie raportów ze względu na ich autora, nazwę, szablon oraz opis</w:t>
      </w:r>
    </w:p>
    <w:p w:rsidR="00BF0CAD" w:rsidRPr="00937A61" w:rsidRDefault="00BF0CAD" w:rsidP="00BF0CAD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eksport wyniku raportu do pliku CSV, DOC, XLS</w:t>
      </w:r>
    </w:p>
    <w:p w:rsidR="00BF0CAD" w:rsidRPr="00937A61" w:rsidRDefault="00BF0CAD" w:rsidP="00BF0CAD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umożliwiać: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listy utworzonych zgłoszeń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filtrowanie zgłoszeń ze względu na ich status oraz czas zamknięcia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podgląd listy szablonów dla poszczególnych rodzajów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dodanie szablonu dla poszczególnych rodzajów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oraz wprowadzenie ich konfiguracji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zarządzanie listą użytkowników oraz przypisywanie ich do grupy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konfigurację grup użytkowników z odpowiednimi uprawnieniami do poszczególnych grup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skanów</w:t>
      </w:r>
      <w:proofErr w:type="spellEnd"/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wprowadzenie restrykcji adresu IP z którego następuje logowanie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wymuszenie weryfikacji dwuetapowej podczas logowania</w:t>
      </w:r>
    </w:p>
    <w:p w:rsidR="00BF0CAD" w:rsidRPr="00937A61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wszystkich zdarzeń w systemie uwzględniając użytkownika, adres IP oraz rodzaj zdarzenia</w:t>
      </w:r>
    </w:p>
    <w:p w:rsidR="00BF0CAD" w:rsidRPr="00665627" w:rsidRDefault="00BF0CAD" w:rsidP="00BF0CA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wykorzystanie API do integracji danych z innymi środowiskami</w:t>
      </w: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Pr="0048606E" w:rsidRDefault="00BF0CAD" w:rsidP="00BF0CAD"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BF0CAD" w:rsidRDefault="00BF0CAD" w:rsidP="00BF0C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F0CAD" w:rsidRPr="00237697" w:rsidRDefault="00BF0CAD" w:rsidP="00BF0CAD">
      <w:pPr>
        <w:pStyle w:val="Styl"/>
        <w:rPr>
          <w:rFonts w:ascii="Times New Roman" w:hAnsi="Times New Roman" w:cs="Times New Roman"/>
          <w:sz w:val="22"/>
          <w:szCs w:val="22"/>
        </w:rPr>
      </w:pPr>
      <w:r w:rsidRPr="00237697">
        <w:rPr>
          <w:rFonts w:ascii="Times New Roman" w:hAnsi="Times New Roman" w:cs="Times New Roman"/>
          <w:sz w:val="22"/>
          <w:szCs w:val="22"/>
        </w:rPr>
        <w:lastRenderedPageBreak/>
        <w:t>92/19</w:t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</w:r>
      <w:r w:rsidRPr="00237697">
        <w:rPr>
          <w:rFonts w:ascii="Times New Roman" w:hAnsi="Times New Roman" w:cs="Times New Roman"/>
          <w:sz w:val="22"/>
          <w:szCs w:val="22"/>
        </w:rPr>
        <w:tab/>
        <w:t>ZU</w:t>
      </w:r>
    </w:p>
    <w:p w:rsidR="00BF0CAD" w:rsidRPr="0096725D" w:rsidRDefault="00BF0CAD" w:rsidP="00BF0CAD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96725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>
        <w:rPr>
          <w:rFonts w:ascii="Bookman Old Style" w:hAnsi="Bookman Old Style"/>
          <w:b/>
          <w:sz w:val="28"/>
          <w:szCs w:val="28"/>
          <w:u w:val="single"/>
        </w:rPr>
        <w:t>2019</w:t>
      </w:r>
    </w:p>
    <w:p w:rsidR="00BF0CAD" w:rsidRPr="00C548AC" w:rsidRDefault="00BF0CAD" w:rsidP="00BF0CA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lang w:eastAsia="zh-CN"/>
        </w:rPr>
      </w:pPr>
      <w:r>
        <w:rPr>
          <w:b/>
          <w:lang w:eastAsia="zh-CN"/>
        </w:rPr>
        <w:t>UMOWA NR       /2019</w:t>
      </w:r>
    </w:p>
    <w:p w:rsidR="00BF0CAD" w:rsidRPr="00C548AC" w:rsidRDefault="00BF0CAD" w:rsidP="00BF0CAD">
      <w:pPr>
        <w:suppressAutoHyphens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zawarta w </w:t>
      </w:r>
      <w:r w:rsidRPr="001763CE">
        <w:rPr>
          <w:rFonts w:ascii="Bookman Old Style" w:hAnsi="Bookman Old Style"/>
          <w:sz w:val="22"/>
          <w:szCs w:val="22"/>
          <w:lang w:eastAsia="zh-CN"/>
        </w:rPr>
        <w:t>dniu</w:t>
      </w:r>
      <w:r>
        <w:rPr>
          <w:rFonts w:ascii="Bookman Old Style" w:hAnsi="Bookman Old Style"/>
          <w:sz w:val="22"/>
          <w:szCs w:val="22"/>
          <w:lang w:eastAsia="zh-CN"/>
        </w:rPr>
        <w:t>………………</w:t>
      </w:r>
      <w:r w:rsidRPr="00C548AC">
        <w:rPr>
          <w:rFonts w:ascii="Bookman Old Style" w:hAnsi="Bookman Old Style"/>
          <w:sz w:val="22"/>
          <w:szCs w:val="22"/>
          <w:lang w:eastAsia="zh-CN"/>
        </w:rPr>
        <w:t>pomiędzy:</w:t>
      </w:r>
    </w:p>
    <w:p w:rsidR="00BF0CAD" w:rsidRPr="00C548AC" w:rsidRDefault="00BF0CAD" w:rsidP="00BF0CAD">
      <w:pPr>
        <w:suppressAutoHyphens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 xml:space="preserve">Śląskim Centrum Chorób Serca w Zabrzu, 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samodzielnym publicznym zakładem opieki zdrowotnej z siedzibą: 41-800 Zabrze, ul. M.C. Skłodowskiej 9, zarejestrowanym w Krajowym Rejestrze Sądowym w Sadzie Rejonowym w Gliwicach Wydział X Gospodarczy KRS pod nr 0000048349, NIP 6482302807, zwanym dalej </w:t>
      </w:r>
      <w:r w:rsidRPr="00C548AC">
        <w:rPr>
          <w:rFonts w:ascii="Bookman Old Style" w:hAnsi="Bookman Old Style"/>
          <w:b/>
          <w:sz w:val="22"/>
          <w:szCs w:val="22"/>
          <w:lang w:eastAsia="zh-CN"/>
        </w:rPr>
        <w:t xml:space="preserve">„Zamawiającym” 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reprezentowanym przez </w:t>
      </w:r>
    </w:p>
    <w:p w:rsidR="00BF0CAD" w:rsidRPr="00C548AC" w:rsidRDefault="00BF0CAD" w:rsidP="00BF0CAD">
      <w:pPr>
        <w:suppressAutoHyphens/>
        <w:spacing w:line="360" w:lineRule="auto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Bożena Duda – Dyrektor ds. ekonomiczno - administracyjnych </w:t>
      </w:r>
      <w:r w:rsidRPr="00C548AC">
        <w:rPr>
          <w:rFonts w:ascii="Bookman Old Style" w:hAnsi="Bookman Old Style"/>
          <w:sz w:val="22"/>
          <w:szCs w:val="22"/>
          <w:lang w:eastAsia="zh-CN"/>
        </w:rPr>
        <w:br/>
        <w:t>oraz firmą</w:t>
      </w:r>
    </w:p>
    <w:p w:rsidR="00BF0CAD" w:rsidRPr="00C548AC" w:rsidRDefault="00BF0CAD" w:rsidP="00BF0C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C548AC">
        <w:rPr>
          <w:rFonts w:ascii="Bookman Old Style" w:hAnsi="Bookman Old Style"/>
          <w:sz w:val="22"/>
          <w:szCs w:val="22"/>
        </w:rPr>
        <w:t xml:space="preserve"> 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reprezentowanym przez ……………………………………………………………., zwanym w dalszej treści umowy </w:t>
      </w:r>
      <w:r w:rsidRPr="00C548AC">
        <w:rPr>
          <w:rFonts w:ascii="Bookman Old Style" w:hAnsi="Bookman Old Style"/>
          <w:b/>
          <w:sz w:val="22"/>
          <w:szCs w:val="22"/>
          <w:lang w:eastAsia="zh-CN"/>
        </w:rPr>
        <w:t>„Wykonawcą”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. 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1</w:t>
      </w:r>
    </w:p>
    <w:p w:rsidR="00BF0CAD" w:rsidRPr="00C548AC" w:rsidRDefault="00BF0CAD" w:rsidP="00BF0CAD">
      <w:pPr>
        <w:tabs>
          <w:tab w:val="left" w:pos="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Zamawiający zamawia, a Wykonawca przyjmuje do wykonania dostawę i wdrożenie </w:t>
      </w:r>
      <w:r w:rsidRPr="00C548AC">
        <w:rPr>
          <w:rFonts w:ascii="Bookman Old Style" w:hAnsi="Bookman Old Style"/>
          <w:sz w:val="22"/>
          <w:szCs w:val="22"/>
        </w:rPr>
        <w:t xml:space="preserve">oprogramowania do </w:t>
      </w:r>
      <w:r w:rsidRPr="006E290B">
        <w:rPr>
          <w:rFonts w:ascii="Bookman Old Style" w:hAnsi="Bookman Old Style"/>
          <w:sz w:val="22"/>
          <w:szCs w:val="22"/>
        </w:rPr>
        <w:t>monitorowania podatności</w:t>
      </w:r>
      <w:r w:rsidRPr="00C548AC">
        <w:rPr>
          <w:rFonts w:ascii="Bookman Old Style" w:hAnsi="Bookman Old Style"/>
          <w:sz w:val="22"/>
          <w:szCs w:val="22"/>
        </w:rPr>
        <w:t xml:space="preserve"> dla </w:t>
      </w:r>
      <w:r>
        <w:rPr>
          <w:rFonts w:ascii="Bookman Old Style" w:hAnsi="Bookman Old Style"/>
          <w:sz w:val="22"/>
          <w:szCs w:val="22"/>
        </w:rPr>
        <w:t>5</w:t>
      </w:r>
      <w:r w:rsidRPr="00C548AC">
        <w:rPr>
          <w:rFonts w:ascii="Bookman Old Style" w:hAnsi="Bookman Old Style"/>
          <w:sz w:val="22"/>
          <w:szCs w:val="22"/>
        </w:rPr>
        <w:t xml:space="preserve">0 stacji roboczych z rocznym wsparciem serwisowym 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zgodnie ze złożoną ofertą i zapytaniem ofertowym stanowiącymi integralną część umowy. 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2</w:t>
      </w:r>
    </w:p>
    <w:p w:rsidR="00BF0CAD" w:rsidRPr="00C548AC" w:rsidRDefault="00BF0CAD" w:rsidP="00BF0CAD">
      <w:pPr>
        <w:numPr>
          <w:ilvl w:val="0"/>
          <w:numId w:val="11"/>
        </w:numPr>
        <w:suppressAutoHyphens/>
        <w:spacing w:line="360" w:lineRule="auto"/>
        <w:ind w:left="397" w:hanging="397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Wykonawca zobowiązuje się do dostarczenia przedmiotu zamówienia określonego w §1,  w terminie </w:t>
      </w:r>
      <w:r w:rsidRPr="00C548AC">
        <w:rPr>
          <w:rFonts w:ascii="Bookman Old Style" w:hAnsi="Bookman Old Style"/>
          <w:b/>
          <w:sz w:val="22"/>
          <w:szCs w:val="22"/>
          <w:lang w:eastAsia="zh-CN"/>
        </w:rPr>
        <w:t>do 14 dni od dnia zawarcia umowy</w:t>
      </w:r>
      <w:r w:rsidRPr="00C548AC">
        <w:rPr>
          <w:rFonts w:ascii="Bookman Old Style" w:hAnsi="Bookman Old Style"/>
          <w:sz w:val="22"/>
          <w:szCs w:val="22"/>
          <w:lang w:eastAsia="zh-CN"/>
        </w:rPr>
        <w:t>.</w:t>
      </w:r>
    </w:p>
    <w:p w:rsidR="00BF0CAD" w:rsidRPr="00C548AC" w:rsidRDefault="00BF0CAD" w:rsidP="00BF0CAD">
      <w:pPr>
        <w:numPr>
          <w:ilvl w:val="0"/>
          <w:numId w:val="11"/>
        </w:numPr>
        <w:suppressAutoHyphens/>
        <w:spacing w:line="360" w:lineRule="auto"/>
        <w:ind w:left="397" w:hanging="397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Zamawiający w terminie do 2 dni roboczych od dostarczenia potwierdzi drogą elektroniczną odbiór przedmiotu umowy bez zastrzeżeń.</w:t>
      </w:r>
    </w:p>
    <w:p w:rsidR="00BF0CAD" w:rsidRPr="00C548AC" w:rsidRDefault="00BF0CAD" w:rsidP="00BF0CAD">
      <w:pPr>
        <w:numPr>
          <w:ilvl w:val="0"/>
          <w:numId w:val="11"/>
        </w:numPr>
        <w:suppressAutoHyphens/>
        <w:spacing w:line="360" w:lineRule="auto"/>
        <w:ind w:left="397" w:hanging="397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Wykonawca oświadcza, że posiada zgodę producenta oprogramowania, o którym mowa w § 1, na dostarczenie</w:t>
      </w:r>
      <w:r w:rsidRPr="00C548AC">
        <w:rPr>
          <w:rFonts w:ascii="Bookman Old Style" w:hAnsi="Bookman Old Style"/>
          <w:color w:val="000000"/>
          <w:sz w:val="22"/>
          <w:szCs w:val="22"/>
          <w:lang w:eastAsia="zh-CN"/>
        </w:rPr>
        <w:t xml:space="preserve"> licencji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 końcowemu użytkownikowi</w:t>
      </w:r>
      <w:r>
        <w:rPr>
          <w:rFonts w:ascii="Bookman Old Style" w:hAnsi="Bookman Old Style"/>
          <w:sz w:val="22"/>
          <w:szCs w:val="22"/>
          <w:lang w:eastAsia="zh-CN"/>
        </w:rPr>
        <w:t xml:space="preserve"> w załączniku do umowy nr 1</w:t>
      </w:r>
      <w:r w:rsidRPr="00C548AC">
        <w:rPr>
          <w:rFonts w:ascii="Bookman Old Style" w:hAnsi="Bookman Old Style"/>
          <w:sz w:val="22"/>
          <w:szCs w:val="22"/>
          <w:lang w:eastAsia="zh-CN"/>
        </w:rPr>
        <w:t>.</w:t>
      </w:r>
      <w:r>
        <w:rPr>
          <w:rFonts w:ascii="Bookman Old Style" w:hAnsi="Bookman Old Style"/>
          <w:sz w:val="22"/>
          <w:szCs w:val="22"/>
          <w:lang w:eastAsia="zh-CN"/>
        </w:rPr>
        <w:t xml:space="preserve"> Warunki licencji są określone w ………………………………………….. .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3</w:t>
      </w:r>
    </w:p>
    <w:p w:rsidR="00BF0CAD" w:rsidRPr="00C548AC" w:rsidRDefault="00BF0CAD" w:rsidP="00BF0CAD">
      <w:pPr>
        <w:numPr>
          <w:ilvl w:val="0"/>
          <w:numId w:val="5"/>
        </w:numPr>
        <w:suppressAutoHyphens/>
        <w:autoSpaceDE w:val="0"/>
        <w:spacing w:line="360" w:lineRule="auto"/>
        <w:ind w:left="397" w:hanging="397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Zamawiający zobowiązuje się wypłacić Wykonawcy wynagrodzenie w kwocie:</w:t>
      </w:r>
    </w:p>
    <w:p w:rsidR="00BF0CAD" w:rsidRPr="00C548AC" w:rsidRDefault="00BF0CAD" w:rsidP="00BF0CAD">
      <w:pPr>
        <w:suppressAutoHyphens/>
        <w:autoSpaceDE w:val="0"/>
        <w:spacing w:line="360" w:lineRule="auto"/>
        <w:ind w:firstLine="397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– </w:t>
      </w:r>
      <w:r w:rsidRPr="00C548AC">
        <w:rPr>
          <w:rFonts w:ascii="Bookman Old Style" w:hAnsi="Bookman Old Style"/>
          <w:b/>
          <w:sz w:val="22"/>
          <w:szCs w:val="22"/>
          <w:lang w:eastAsia="zh-CN"/>
        </w:rPr>
        <w:t>netto   ....................... zł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 (słownie: ......................................... ),</w:t>
      </w:r>
    </w:p>
    <w:p w:rsidR="00BF0CAD" w:rsidRPr="00C548AC" w:rsidRDefault="00BF0CAD" w:rsidP="00BF0CAD">
      <w:pPr>
        <w:suppressAutoHyphens/>
        <w:autoSpaceDE w:val="0"/>
        <w:spacing w:line="360" w:lineRule="auto"/>
        <w:ind w:firstLine="397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– </w:t>
      </w:r>
      <w:r w:rsidRPr="00C548AC">
        <w:rPr>
          <w:rFonts w:ascii="Bookman Old Style" w:hAnsi="Bookman Old Style"/>
          <w:b/>
          <w:sz w:val="22"/>
          <w:szCs w:val="22"/>
          <w:lang w:eastAsia="zh-CN"/>
        </w:rPr>
        <w:t>brutto ....................... zł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 (słownie: ......................................... ).</w:t>
      </w:r>
    </w:p>
    <w:p w:rsidR="00BF0CAD" w:rsidRPr="00C548AC" w:rsidRDefault="00BF0CAD" w:rsidP="00BF0CAD">
      <w:pPr>
        <w:numPr>
          <w:ilvl w:val="0"/>
          <w:numId w:val="5"/>
        </w:numPr>
        <w:suppressAutoHyphens/>
        <w:autoSpaceDE w:val="0"/>
        <w:spacing w:line="360" w:lineRule="auto"/>
        <w:ind w:hanging="363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</w:rPr>
        <w:t>Za dzień zapłaty uważa się dzień obciążenia rachunku bankowego Zamawiającego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 </w:t>
      </w:r>
      <w:r w:rsidRPr="00C548AC">
        <w:rPr>
          <w:rFonts w:ascii="Bookman Old Style" w:hAnsi="Bookman Old Style"/>
          <w:sz w:val="22"/>
          <w:szCs w:val="22"/>
        </w:rPr>
        <w:t>poleceniem przelewu na rachunek bankowy Wykonawcy.</w:t>
      </w:r>
    </w:p>
    <w:p w:rsidR="00BF0CAD" w:rsidRPr="00C548AC" w:rsidRDefault="00BF0CAD" w:rsidP="00BF0CAD">
      <w:pPr>
        <w:suppressAutoHyphens/>
        <w:autoSpaceDE w:val="0"/>
        <w:spacing w:line="360" w:lineRule="auto"/>
        <w:ind w:left="363"/>
        <w:jc w:val="both"/>
        <w:rPr>
          <w:rFonts w:ascii="Bookman Old Style" w:hAnsi="Bookman Old Style"/>
          <w:sz w:val="22"/>
          <w:szCs w:val="22"/>
          <w:lang w:eastAsia="zh-CN"/>
        </w:rPr>
      </w:pP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lastRenderedPageBreak/>
        <w:t>§ 4</w:t>
      </w:r>
    </w:p>
    <w:p w:rsidR="00BF0CAD" w:rsidRPr="00C548AC" w:rsidRDefault="00BF0CAD" w:rsidP="00BF0CAD">
      <w:pPr>
        <w:numPr>
          <w:ilvl w:val="0"/>
          <w:numId w:val="6"/>
        </w:numPr>
        <w:suppressAutoHyphens/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Zamawiający zapłaci Wykonawcy za przedmiot umowy, po odbiorze bez zastrzeżeń oraz wystawieniu faktury VAT, w terminie </w:t>
      </w:r>
      <w:r>
        <w:rPr>
          <w:rFonts w:ascii="Bookman Old Style" w:hAnsi="Bookman Old Style"/>
          <w:sz w:val="22"/>
          <w:szCs w:val="22"/>
          <w:lang w:eastAsia="zh-CN"/>
        </w:rPr>
        <w:t>30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 dni. W przypadku zastrzeżeń przy odbiorze przedmiotu umowy faktura nie zostanie zrealizowana.</w:t>
      </w:r>
    </w:p>
    <w:p w:rsidR="00BF0CAD" w:rsidRPr="00C548AC" w:rsidRDefault="00BF0CAD" w:rsidP="00BF0CAD">
      <w:pPr>
        <w:numPr>
          <w:ilvl w:val="0"/>
          <w:numId w:val="6"/>
        </w:numPr>
        <w:suppressAutoHyphens/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Zamawiający oświadcza, że jest płatnikiem podatku VAT i upoważnia Wykonawcę </w:t>
      </w:r>
      <w:r w:rsidRPr="00C548AC">
        <w:rPr>
          <w:rFonts w:ascii="Bookman Old Style" w:hAnsi="Bookman Old Style"/>
          <w:sz w:val="22"/>
          <w:szCs w:val="22"/>
          <w:lang w:eastAsia="zh-CN"/>
        </w:rPr>
        <w:br/>
        <w:t>do wystawienia faktury bez podpisu Zamawiającego.</w:t>
      </w:r>
    </w:p>
    <w:p w:rsidR="00BF0CAD" w:rsidRPr="00C548AC" w:rsidRDefault="00BF0CAD" w:rsidP="00BF0CAD">
      <w:pPr>
        <w:numPr>
          <w:ilvl w:val="0"/>
          <w:numId w:val="6"/>
        </w:numPr>
        <w:suppressAutoHyphens/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Zamawiający upoważnia Wykonawcę do przesłania faktur elektronicznych na adres email Zamawiającego: …………………………...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5</w:t>
      </w:r>
    </w:p>
    <w:p w:rsidR="00BF0CAD" w:rsidRPr="00C548AC" w:rsidRDefault="00BF0CAD" w:rsidP="00BF0CAD">
      <w:pPr>
        <w:numPr>
          <w:ilvl w:val="0"/>
          <w:numId w:val="8"/>
        </w:numPr>
        <w:tabs>
          <w:tab w:val="num" w:pos="426"/>
        </w:tabs>
        <w:suppressAutoHyphens/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Wykonawca zapłaci Zamawiającemu kary umowne w przypadku:</w:t>
      </w:r>
    </w:p>
    <w:p w:rsidR="00BF0CAD" w:rsidRPr="00C548AC" w:rsidRDefault="00BF0CAD" w:rsidP="00BF0CAD">
      <w:pPr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nie przystąpienia do wykonania zamówienia, niewykonania lub nienależytego wykonania zamówienia, odstąpienia od umowy </w:t>
      </w:r>
      <w:bookmarkStart w:id="0" w:name="__DdeLink__295_366571503"/>
      <w:r w:rsidRPr="00C548AC">
        <w:rPr>
          <w:rFonts w:ascii="Bookman Old Style" w:hAnsi="Bookman Old Style"/>
          <w:sz w:val="22"/>
          <w:szCs w:val="22"/>
          <w:lang w:eastAsia="zh-CN"/>
        </w:rPr>
        <w:t>przez Wykonawcę, bądź przez Zamawiającego, z przyczyn za które odpowiedzialność ponosi Wykonawca</w:t>
      </w:r>
      <w:bookmarkEnd w:id="0"/>
      <w:r w:rsidRPr="00C548AC">
        <w:rPr>
          <w:rFonts w:ascii="Bookman Old Style" w:hAnsi="Bookman Old Style"/>
          <w:sz w:val="22"/>
          <w:szCs w:val="22"/>
          <w:lang w:eastAsia="zh-CN"/>
        </w:rPr>
        <w:t xml:space="preserve">, </w:t>
      </w:r>
      <w:r w:rsidRPr="00C548AC">
        <w:rPr>
          <w:rFonts w:ascii="Bookman Old Style" w:hAnsi="Bookman Old Style"/>
          <w:sz w:val="22"/>
          <w:szCs w:val="22"/>
          <w:lang w:eastAsia="zh-CN"/>
        </w:rPr>
        <w:br/>
        <w:t>w wysokości 10% wynagrodzenia brutto określonego w § 3 ust. 1 niniejszej umowy,</w:t>
      </w:r>
    </w:p>
    <w:p w:rsidR="00BF0CAD" w:rsidRPr="00C548AC" w:rsidRDefault="00BF0CAD" w:rsidP="00BF0CAD">
      <w:pPr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zwłoki w wykonaniu przedmiotu umowy, w wysokości 0,5 % wynagrodzenia brutto określonego w § 3 ust. 1 niniejszej umowy, za każdy dzień zwłoki, liczony od terminów określonych w § 2 ust. 1.</w:t>
      </w:r>
    </w:p>
    <w:p w:rsidR="00BF0CAD" w:rsidRPr="00C548AC" w:rsidRDefault="00BF0CAD" w:rsidP="00BF0CAD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Jeżeli kary umowne nie pokrywają poniesionej szkody Zamawiający może dochodzić odszkodowania uzupełniającego na zasadach określonych w Kodeksie Cywilnym.</w:t>
      </w:r>
    </w:p>
    <w:p w:rsidR="00BF0CAD" w:rsidRPr="00C548AC" w:rsidRDefault="00BF0CAD" w:rsidP="00BF0CAD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Zamawiający może potrącić kary umowne, o których mowa </w:t>
      </w:r>
      <w:r>
        <w:rPr>
          <w:rFonts w:ascii="Bookman Old Style" w:hAnsi="Bookman Old Style"/>
          <w:sz w:val="22"/>
          <w:szCs w:val="22"/>
          <w:lang w:eastAsia="zh-CN"/>
        </w:rPr>
        <w:t xml:space="preserve">                                    </w:t>
      </w: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w ust. 1 z wynagrodzenia Wykonawcy bez uprzedniego wezwania </w:t>
      </w:r>
      <w:r>
        <w:rPr>
          <w:rFonts w:ascii="Bookman Old Style" w:hAnsi="Bookman Old Style"/>
          <w:sz w:val="22"/>
          <w:szCs w:val="22"/>
          <w:lang w:eastAsia="zh-CN"/>
        </w:rPr>
        <w:t xml:space="preserve">                                   </w:t>
      </w:r>
      <w:r w:rsidRPr="00C548AC">
        <w:rPr>
          <w:rFonts w:ascii="Bookman Old Style" w:hAnsi="Bookman Old Style"/>
          <w:sz w:val="22"/>
          <w:szCs w:val="22"/>
          <w:lang w:eastAsia="zh-CN"/>
        </w:rPr>
        <w:t>do ich zapłacenia.</w:t>
      </w:r>
    </w:p>
    <w:p w:rsidR="00BF0CAD" w:rsidRPr="00C548AC" w:rsidRDefault="00BF0CAD" w:rsidP="00BF0CAD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Kary umowne mogą być naliczane łącznie i podlegają kumulacji.</w:t>
      </w:r>
    </w:p>
    <w:p w:rsidR="00BF0CAD" w:rsidRPr="00C548AC" w:rsidRDefault="00BF0CAD" w:rsidP="00BF0CAD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Zamawiający w terminie 7 dni ma prawo odstąpić od umowy w przypadku zwłoki</w:t>
      </w:r>
      <w:r w:rsidRPr="00C548AC">
        <w:rPr>
          <w:rFonts w:ascii="Bookman Old Style" w:hAnsi="Bookman Old Style"/>
          <w:sz w:val="22"/>
          <w:szCs w:val="22"/>
          <w:lang w:eastAsia="zh-CN"/>
        </w:rPr>
        <w:br/>
        <w:t xml:space="preserve">w wykonaniu przez Wykonawcę przedmiotu umowy wynoszącej więcej </w:t>
      </w:r>
      <w:r>
        <w:rPr>
          <w:rFonts w:ascii="Bookman Old Style" w:hAnsi="Bookman Old Style"/>
          <w:sz w:val="22"/>
          <w:szCs w:val="22"/>
          <w:lang w:eastAsia="zh-CN"/>
        </w:rPr>
        <w:t xml:space="preserve">                        </w:t>
      </w:r>
      <w:r w:rsidRPr="00C548AC">
        <w:rPr>
          <w:rFonts w:ascii="Bookman Old Style" w:hAnsi="Bookman Old Style"/>
          <w:sz w:val="22"/>
          <w:szCs w:val="22"/>
          <w:lang w:eastAsia="zh-CN"/>
        </w:rPr>
        <w:t>niż 2 dni roboczych licząc od terminu wskazanego w § 2 ust. 1.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6</w:t>
      </w:r>
    </w:p>
    <w:p w:rsidR="00BF0CAD" w:rsidRPr="00C548AC" w:rsidRDefault="00BF0CAD" w:rsidP="00BF0CAD">
      <w:pPr>
        <w:suppressAutoHyphens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>Strony uzgadniają, że nie będą naliczać kar umownych za nieterminową realizację umowy wynikłą z przyczyn tzw. siły wyższej tj. powodzie, klęski żywiołowe, wprowadzenie stanu wyjątkowego, katastrofy dotyczące stron i mające wpływ na wykonanie przedmiotu umowy. W takich przypadkach strona dotknięta skutkami działania siły wyższej zobowiązana jest</w:t>
      </w:r>
      <w:r>
        <w:rPr>
          <w:rFonts w:ascii="Bookman Old Style" w:hAnsi="Bookman Old Style"/>
          <w:sz w:val="22"/>
          <w:szCs w:val="22"/>
          <w:lang w:eastAsia="zh-CN"/>
        </w:rPr>
        <w:t xml:space="preserve"> </w:t>
      </w:r>
      <w:r w:rsidRPr="00C548AC">
        <w:rPr>
          <w:rFonts w:ascii="Bookman Old Style" w:hAnsi="Bookman Old Style"/>
          <w:sz w:val="22"/>
          <w:szCs w:val="22"/>
          <w:lang w:eastAsia="zh-CN"/>
        </w:rPr>
        <w:br/>
      </w:r>
      <w:r w:rsidRPr="00C548AC">
        <w:rPr>
          <w:rFonts w:ascii="Bookman Old Style" w:hAnsi="Bookman Old Style"/>
          <w:sz w:val="22"/>
          <w:szCs w:val="22"/>
          <w:lang w:eastAsia="zh-CN"/>
        </w:rPr>
        <w:lastRenderedPageBreak/>
        <w:t>do niezwłocznego poinformowania drugiej strony, po czym strony przeprowadzą negocjacje w celu wypracowania metod dalszego wspólnego postępowania.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7</w:t>
      </w:r>
    </w:p>
    <w:p w:rsidR="00BF0CAD" w:rsidRPr="00C548AC" w:rsidRDefault="00BF0CAD" w:rsidP="00BF0CAD">
      <w:pPr>
        <w:widowControl w:val="0"/>
        <w:numPr>
          <w:ilvl w:val="0"/>
          <w:numId w:val="10"/>
        </w:numPr>
        <w:tabs>
          <w:tab w:val="left" w:pos="341"/>
        </w:tabs>
        <w:suppressAutoHyphens/>
        <w:autoSpaceDE w:val="0"/>
        <w:autoSpaceDN w:val="0"/>
        <w:adjustRightInd w:val="0"/>
        <w:spacing w:line="360" w:lineRule="auto"/>
        <w:ind w:left="360" w:right="10" w:hanging="36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548AC">
        <w:rPr>
          <w:rFonts w:ascii="Bookman Old Style" w:hAnsi="Bookman Old Style"/>
          <w:color w:val="000000"/>
          <w:sz w:val="22"/>
          <w:szCs w:val="22"/>
        </w:rPr>
        <w:t xml:space="preserve">W kwestiach nie uregulowanych w niniejszej umowie mają zastosowanie odpowiednie przepisy Kodeksu Cywilnego oraz innych obowiązujących </w:t>
      </w:r>
      <w:r>
        <w:rPr>
          <w:rFonts w:ascii="Bookman Old Style" w:hAnsi="Bookman Old Style"/>
          <w:color w:val="000000"/>
          <w:sz w:val="22"/>
          <w:szCs w:val="22"/>
        </w:rPr>
        <w:t xml:space="preserve">                           </w:t>
      </w:r>
      <w:r w:rsidRPr="00C548AC">
        <w:rPr>
          <w:rFonts w:ascii="Bookman Old Style" w:hAnsi="Bookman Old Style"/>
          <w:color w:val="000000"/>
          <w:sz w:val="22"/>
          <w:szCs w:val="22"/>
        </w:rPr>
        <w:t>w tym zakresie przepisów prawa.</w:t>
      </w:r>
    </w:p>
    <w:p w:rsidR="00BF0CAD" w:rsidRPr="00C548AC" w:rsidRDefault="00BF0CAD" w:rsidP="00BF0CAD">
      <w:pPr>
        <w:widowControl w:val="0"/>
        <w:numPr>
          <w:ilvl w:val="0"/>
          <w:numId w:val="10"/>
        </w:numPr>
        <w:tabs>
          <w:tab w:val="left" w:pos="341"/>
        </w:tabs>
        <w:suppressAutoHyphens/>
        <w:autoSpaceDE w:val="0"/>
        <w:autoSpaceDN w:val="0"/>
        <w:adjustRightInd w:val="0"/>
        <w:spacing w:line="360" w:lineRule="auto"/>
        <w:ind w:left="360" w:right="10" w:hanging="36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548AC">
        <w:rPr>
          <w:rFonts w:ascii="Bookman Old Style" w:hAnsi="Bookman Old Style"/>
          <w:color w:val="000000"/>
          <w:sz w:val="22"/>
          <w:szCs w:val="22"/>
        </w:rPr>
        <w:t>Wszelkie zmiany w niniejszej umowie wymagają formy pisemnej pod rygorem nieważności.</w:t>
      </w:r>
    </w:p>
    <w:p w:rsidR="00BF0CAD" w:rsidRPr="00C548AC" w:rsidRDefault="00BF0CAD" w:rsidP="00BF0CAD">
      <w:pPr>
        <w:widowControl w:val="0"/>
        <w:numPr>
          <w:ilvl w:val="0"/>
          <w:numId w:val="10"/>
        </w:numPr>
        <w:tabs>
          <w:tab w:val="left" w:pos="341"/>
        </w:tabs>
        <w:suppressAutoHyphens/>
        <w:autoSpaceDE w:val="0"/>
        <w:autoSpaceDN w:val="0"/>
        <w:adjustRightInd w:val="0"/>
        <w:spacing w:line="360" w:lineRule="auto"/>
        <w:ind w:left="360" w:right="10" w:hanging="36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548AC">
        <w:rPr>
          <w:rFonts w:ascii="Bookman Old Style" w:hAnsi="Bookman Old Style"/>
          <w:color w:val="000000"/>
          <w:sz w:val="22"/>
          <w:szCs w:val="22"/>
        </w:rPr>
        <w:t xml:space="preserve">Wszelkie ewentualne spory wynikłe na tle realizacji umowy Strony będą rozstrzygać ugodowo. W razie braku szans zawarcia ugody, właściwym </w:t>
      </w:r>
      <w:r>
        <w:rPr>
          <w:rFonts w:ascii="Bookman Old Style" w:hAnsi="Bookman Old Style"/>
          <w:color w:val="000000"/>
          <w:sz w:val="22"/>
          <w:szCs w:val="22"/>
        </w:rPr>
        <w:t xml:space="preserve">                       </w:t>
      </w:r>
      <w:r w:rsidRPr="00C548AC">
        <w:rPr>
          <w:rFonts w:ascii="Bookman Old Style" w:hAnsi="Bookman Old Style"/>
          <w:color w:val="000000"/>
          <w:sz w:val="22"/>
          <w:szCs w:val="22"/>
        </w:rPr>
        <w:t>do rozstrzygnięcia sporu Strony ustalają sąd powszechny właściwy miejscowo dla siedziby Zamawiającego.</w:t>
      </w: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§ 8</w:t>
      </w:r>
    </w:p>
    <w:p w:rsidR="00BF0CAD" w:rsidRPr="00C548AC" w:rsidRDefault="00BF0CAD" w:rsidP="00BF0CAD">
      <w:pPr>
        <w:suppressAutoHyphens/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  <w:r w:rsidRPr="00C548AC">
        <w:rPr>
          <w:rFonts w:ascii="Bookman Old Style" w:hAnsi="Bookman Old Style"/>
          <w:sz w:val="22"/>
          <w:szCs w:val="22"/>
          <w:lang w:eastAsia="zh-CN"/>
        </w:rPr>
        <w:t xml:space="preserve">Umowę niniejszą sporządzono w  2 jednobrzmiących egzemplarzach, po jednym </w:t>
      </w:r>
      <w:r>
        <w:rPr>
          <w:rFonts w:ascii="Bookman Old Style" w:hAnsi="Bookman Old Style"/>
          <w:sz w:val="22"/>
          <w:szCs w:val="22"/>
          <w:lang w:eastAsia="zh-CN"/>
        </w:rPr>
        <w:t xml:space="preserve">                </w:t>
      </w:r>
      <w:r w:rsidRPr="00C548AC">
        <w:rPr>
          <w:rFonts w:ascii="Bookman Old Style" w:hAnsi="Bookman Old Style"/>
          <w:sz w:val="22"/>
          <w:szCs w:val="22"/>
          <w:lang w:eastAsia="zh-CN"/>
        </w:rPr>
        <w:t>dla każdej ze stron</w:t>
      </w:r>
    </w:p>
    <w:p w:rsidR="00BF0CAD" w:rsidRPr="00C548AC" w:rsidRDefault="00BF0CAD" w:rsidP="00BF0CAD">
      <w:pPr>
        <w:keepNext/>
        <w:tabs>
          <w:tab w:val="num" w:pos="0"/>
        </w:tabs>
        <w:suppressAutoHyphens/>
        <w:spacing w:line="360" w:lineRule="auto"/>
        <w:ind w:left="432" w:hanging="432"/>
        <w:outlineLvl w:val="0"/>
        <w:rPr>
          <w:rFonts w:ascii="Bookman Old Style" w:hAnsi="Bookman Old Style"/>
          <w:b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 xml:space="preserve">        </w:t>
      </w:r>
    </w:p>
    <w:p w:rsidR="00BF0CAD" w:rsidRPr="00C548AC" w:rsidRDefault="00BF0CAD" w:rsidP="00BF0CAD">
      <w:pPr>
        <w:suppressAutoHyphens/>
        <w:spacing w:line="360" w:lineRule="auto"/>
        <w:rPr>
          <w:rFonts w:ascii="Bookman Old Style" w:hAnsi="Bookman Old Style"/>
          <w:b/>
          <w:sz w:val="22"/>
          <w:szCs w:val="22"/>
          <w:lang w:eastAsia="zh-CN"/>
        </w:rPr>
      </w:pPr>
    </w:p>
    <w:p w:rsidR="00BF0CAD" w:rsidRPr="00C548AC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b/>
          <w:sz w:val="22"/>
          <w:szCs w:val="22"/>
          <w:lang w:eastAsia="zh-CN"/>
        </w:rPr>
      </w:pPr>
      <w:r w:rsidRPr="00C548AC">
        <w:rPr>
          <w:rFonts w:ascii="Bookman Old Style" w:hAnsi="Bookman Old Style"/>
          <w:b/>
          <w:sz w:val="22"/>
          <w:szCs w:val="22"/>
          <w:lang w:eastAsia="zh-CN"/>
        </w:rPr>
        <w:t>ZAMAWIAJĄCY                                                                      WYKONAWCA</w:t>
      </w:r>
    </w:p>
    <w:p w:rsidR="00BF0CAD" w:rsidRDefault="00BF0CAD" w:rsidP="00BF0CAD"/>
    <w:p w:rsidR="00BF0CAD" w:rsidRDefault="00BF0CAD" w:rsidP="00BF0CAD">
      <w:pPr>
        <w:spacing w:after="160" w:line="259" w:lineRule="auto"/>
      </w:pPr>
      <w:r>
        <w:br w:type="page"/>
      </w:r>
      <w:bookmarkStart w:id="1" w:name="_GoBack"/>
      <w:bookmarkEnd w:id="1"/>
    </w:p>
    <w:p w:rsidR="00BF0CAD" w:rsidRPr="00BF0CAD" w:rsidRDefault="00BF0CAD" w:rsidP="00BF0CAD">
      <w:pPr>
        <w:jc w:val="right"/>
        <w:rPr>
          <w:sz w:val="20"/>
          <w:szCs w:val="20"/>
        </w:rPr>
      </w:pPr>
      <w:r w:rsidRPr="00BF0CAD">
        <w:rPr>
          <w:sz w:val="20"/>
          <w:szCs w:val="20"/>
        </w:rPr>
        <w:lastRenderedPageBreak/>
        <w:t>Załącznik do Umowy nr 1</w:t>
      </w:r>
    </w:p>
    <w:p w:rsidR="00BF0CAD" w:rsidRDefault="00BF0CAD" w:rsidP="00BF0CAD"/>
    <w:p w:rsidR="00BF0CAD" w:rsidRPr="006B475F" w:rsidRDefault="00BF0CAD" w:rsidP="00BF0CAD">
      <w:pPr>
        <w:suppressAutoHyphens/>
        <w:spacing w:line="360" w:lineRule="auto"/>
        <w:jc w:val="center"/>
        <w:rPr>
          <w:rFonts w:ascii="Bookman Old Style" w:hAnsi="Bookman Old Style"/>
          <w:b/>
          <w:sz w:val="22"/>
          <w:szCs w:val="22"/>
          <w:lang w:eastAsia="zh-CN"/>
        </w:rPr>
      </w:pPr>
      <w:r w:rsidRPr="006B475F">
        <w:rPr>
          <w:rFonts w:ascii="Bookman Old Style" w:hAnsi="Bookman Old Style"/>
          <w:b/>
          <w:sz w:val="22"/>
          <w:szCs w:val="22"/>
          <w:lang w:eastAsia="zh-CN"/>
        </w:rPr>
        <w:t>Warunki licencji</w:t>
      </w:r>
      <w:r w:rsidRPr="006B475F">
        <w:t xml:space="preserve"> </w:t>
      </w:r>
      <w:r w:rsidRPr="006B475F">
        <w:rPr>
          <w:rFonts w:ascii="Bookman Old Style" w:hAnsi="Bookman Old Style"/>
          <w:b/>
          <w:sz w:val="22"/>
          <w:szCs w:val="22"/>
          <w:lang w:eastAsia="zh-CN"/>
        </w:rPr>
        <w:t>oprogramowania do monitorowania podatności</w:t>
      </w:r>
    </w:p>
    <w:p w:rsidR="00BF0CAD" w:rsidRPr="0019751F" w:rsidRDefault="00BF0CAD" w:rsidP="00BF0CAD">
      <w:pPr>
        <w:jc w:val="both"/>
      </w:pPr>
    </w:p>
    <w:p w:rsidR="00BF0CAD" w:rsidRDefault="00BF0CAD" w:rsidP="00BF0CAD">
      <w:pPr>
        <w:jc w:val="right"/>
        <w:rPr>
          <w:sz w:val="20"/>
          <w:szCs w:val="20"/>
        </w:rPr>
      </w:pPr>
    </w:p>
    <w:p w:rsidR="00A512A3" w:rsidRDefault="00A512A3"/>
    <w:sectPr w:rsidR="00A5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103599"/>
    <w:multiLevelType w:val="hybridMultilevel"/>
    <w:tmpl w:val="D75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4350F"/>
    <w:multiLevelType w:val="hybridMultilevel"/>
    <w:tmpl w:val="9B48A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3218"/>
    <w:multiLevelType w:val="hybridMultilevel"/>
    <w:tmpl w:val="1110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E59F0"/>
    <w:multiLevelType w:val="singleLevel"/>
    <w:tmpl w:val="F52C319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2EA36219"/>
    <w:multiLevelType w:val="hybridMultilevel"/>
    <w:tmpl w:val="367EF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B20E6"/>
    <w:multiLevelType w:val="hybridMultilevel"/>
    <w:tmpl w:val="7FE84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522DE"/>
    <w:multiLevelType w:val="hybridMultilevel"/>
    <w:tmpl w:val="A898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7C1E52"/>
    <w:multiLevelType w:val="hybridMultilevel"/>
    <w:tmpl w:val="C38E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F22EC"/>
    <w:multiLevelType w:val="hybridMultilevel"/>
    <w:tmpl w:val="01AC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D1A75"/>
    <w:multiLevelType w:val="hybridMultilevel"/>
    <w:tmpl w:val="60F6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00402"/>
    <w:multiLevelType w:val="hybridMultilevel"/>
    <w:tmpl w:val="F84AB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12A93"/>
    <w:multiLevelType w:val="hybridMultilevel"/>
    <w:tmpl w:val="E7B48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34E1D"/>
    <w:multiLevelType w:val="hybridMultilevel"/>
    <w:tmpl w:val="F9CA5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F3019"/>
    <w:multiLevelType w:val="hybridMultilevel"/>
    <w:tmpl w:val="EAE0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CA754D9"/>
    <w:multiLevelType w:val="hybridMultilevel"/>
    <w:tmpl w:val="FCD4F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8"/>
  </w:num>
  <w:num w:numId="10">
    <w:abstractNumId w:val="9"/>
  </w:num>
  <w:num w:numId="11">
    <w:abstractNumId w:val="2"/>
  </w:num>
  <w:num w:numId="12">
    <w:abstractNumId w:val="16"/>
  </w:num>
  <w:num w:numId="13">
    <w:abstractNumId w:val="21"/>
  </w:num>
  <w:num w:numId="14">
    <w:abstractNumId w:val="12"/>
  </w:num>
  <w:num w:numId="15">
    <w:abstractNumId w:val="17"/>
  </w:num>
  <w:num w:numId="16">
    <w:abstractNumId w:val="11"/>
  </w:num>
  <w:num w:numId="17">
    <w:abstractNumId w:val="7"/>
  </w:num>
  <w:num w:numId="18">
    <w:abstractNumId w:val="23"/>
  </w:num>
  <w:num w:numId="19">
    <w:abstractNumId w:val="6"/>
  </w:num>
  <w:num w:numId="20">
    <w:abstractNumId w:val="14"/>
  </w:num>
  <w:num w:numId="21">
    <w:abstractNumId w:val="15"/>
  </w:num>
  <w:num w:numId="22">
    <w:abstractNumId w:val="19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AD"/>
    <w:rsid w:val="00A512A3"/>
    <w:rsid w:val="00B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BF0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0CAD"/>
    <w:pPr>
      <w:ind w:left="720"/>
      <w:contextualSpacing/>
    </w:pPr>
  </w:style>
  <w:style w:type="character" w:styleId="Hipercze">
    <w:name w:val="Hyperlink"/>
    <w:uiPriority w:val="99"/>
    <w:unhideWhenUsed/>
    <w:rsid w:val="00BF0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BF0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0CAD"/>
    <w:pPr>
      <w:ind w:left="720"/>
      <w:contextualSpacing/>
    </w:pPr>
  </w:style>
  <w:style w:type="character" w:styleId="Hipercze">
    <w:name w:val="Hyperlink"/>
    <w:uiPriority w:val="99"/>
    <w:unhideWhenUsed/>
    <w:rsid w:val="00BF0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2244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2019-09-25T09:30:00Z</dcterms:created>
  <dcterms:modified xsi:type="dcterms:W3CDTF">2019-09-25T09:35:00Z</dcterms:modified>
</cp:coreProperties>
</file>